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36BA0" w14:textId="77777777" w:rsidR="00E214BE" w:rsidRDefault="00E214BE">
      <w:pPr>
        <w:pStyle w:val="Heading1"/>
        <w:keepNext w:val="0"/>
        <w:keepLines w:val="0"/>
        <w:spacing w:before="360" w:after="200" w:line="240" w:lineRule="auto"/>
        <w:rPr>
          <w:b/>
          <w:bCs/>
        </w:rPr>
      </w:pPr>
    </w:p>
    <w:p w14:paraId="48B4AC85" w14:textId="77777777" w:rsidR="00E214BE" w:rsidRDefault="002457B5">
      <w:pPr>
        <w:spacing w:after="240"/>
        <w:jc w:val="center"/>
        <w:rPr>
          <w:b/>
          <w:bCs/>
        </w:rPr>
      </w:pPr>
      <w:r>
        <w:rPr>
          <w:rFonts w:ascii="Arial" w:eastAsia="Arial" w:hAnsi="Arial" w:cs="Arial"/>
          <w:noProof/>
          <w:sz w:val="22"/>
          <w:szCs w:val="22"/>
        </w:rPr>
        <w:drawing>
          <wp:inline distT="114300" distB="114300" distL="114300" distR="114300" wp14:anchorId="493C221A" wp14:editId="22F52EA4">
            <wp:extent cx="3452813" cy="1078287"/>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452813" cy="1078287"/>
                    </a:xfrm>
                    <a:prstGeom prst="rect">
                      <a:avLst/>
                    </a:prstGeom>
                    <a:ln/>
                  </pic:spPr>
                </pic:pic>
              </a:graphicData>
            </a:graphic>
          </wp:inline>
        </w:drawing>
      </w:r>
    </w:p>
    <w:p w14:paraId="564B4A86" w14:textId="77777777" w:rsidR="00E214BE" w:rsidRDefault="002457B5">
      <w:pPr>
        <w:pStyle w:val="Heading1"/>
        <w:keepNext w:val="0"/>
        <w:keepLines w:val="0"/>
        <w:spacing w:before="360" w:after="200" w:line="240" w:lineRule="auto"/>
        <w:rPr>
          <w:b/>
          <w:bCs/>
        </w:rPr>
      </w:pPr>
      <w:r>
        <w:rPr>
          <w:b/>
          <w:bCs/>
        </w:rPr>
        <w:t>About the Centre</w:t>
      </w:r>
    </w:p>
    <w:p w14:paraId="2176D936" w14:textId="77777777" w:rsidR="00E214BE" w:rsidRDefault="002457B5">
      <w:pPr>
        <w:spacing w:after="120" w:line="240" w:lineRule="auto"/>
      </w:pPr>
      <w:r>
        <w:t>The Born in Bradford Centre for Social Change at York is a collaborative initiative between the world-leading research programme Born in Bradford (</w:t>
      </w:r>
      <w:proofErr w:type="spellStart"/>
      <w:r>
        <w:t>BiB</w:t>
      </w:r>
      <w:proofErr w:type="spellEnd"/>
      <w:r>
        <w:t xml:space="preserve">), the Healthy Livelihoods team within Health Sciences at York, and The York Policy Engine (TYPE). </w:t>
      </w:r>
    </w:p>
    <w:p w14:paraId="6777C0FC" w14:textId="77777777" w:rsidR="00E214BE" w:rsidRDefault="002457B5">
      <w:pPr>
        <w:spacing w:after="120" w:line="240" w:lineRule="auto"/>
      </w:pPr>
      <w:r>
        <w:t>We invite researchers from any department or faculty to collaborate on impactful, community- and policy-focused research. Our mission is to drive social change and improve health, wellbeing and social outcomes, particularly for communities in Bradford, Yorkshire and the Humber, and beyond.</w:t>
      </w:r>
    </w:p>
    <w:p w14:paraId="7833719D" w14:textId="77777777" w:rsidR="00E214BE" w:rsidRDefault="002457B5">
      <w:pPr>
        <w:spacing w:after="120" w:line="240" w:lineRule="auto"/>
      </w:pPr>
      <w:r>
        <w:t xml:space="preserve">This is our third funding round. Building on two successful cohorts and 11 funded projects, </w:t>
      </w:r>
      <w:r>
        <w:t xml:space="preserve">we are now focused on building a strong body of policy-relevant research that delivers real-world impact around our strategic themes. </w:t>
      </w:r>
    </w:p>
    <w:p w14:paraId="689A8DB7" w14:textId="77777777" w:rsidR="00E214BE" w:rsidRDefault="002457B5">
      <w:pPr>
        <w:spacing w:after="120" w:line="240" w:lineRule="auto"/>
      </w:pPr>
      <w:r>
        <w:t xml:space="preserve">In Round 3, we particularly welcome projects that complement existing </w:t>
      </w:r>
      <w:proofErr w:type="spellStart"/>
      <w:r>
        <w:t>BiB</w:t>
      </w:r>
      <w:proofErr w:type="spellEnd"/>
      <w:r>
        <w:t xml:space="preserve"> CSC-funded work, connect to live policy agendas and lay the groundwork for larger external funding bids.</w:t>
      </w:r>
    </w:p>
    <w:p w14:paraId="0C3BA516" w14:textId="77777777" w:rsidR="00E214BE" w:rsidRDefault="002457B5">
      <w:pPr>
        <w:spacing w:after="120" w:line="240" w:lineRule="auto"/>
      </w:pPr>
      <w:r>
        <w:t>We are especially keen to hear from researchers and disciplines new to the Born in Bradford (</w:t>
      </w:r>
      <w:proofErr w:type="spellStart"/>
      <w:r>
        <w:t>BiB</w:t>
      </w:r>
      <w:proofErr w:type="spellEnd"/>
      <w:r>
        <w:t>)–University of York partnership, including those from the Arts, Humanities and Creative Industries, who bring fresh perspectives and approaches to our shared goals.</w:t>
      </w:r>
    </w:p>
    <w:p w14:paraId="6738FD47" w14:textId="77777777" w:rsidR="00E214BE" w:rsidRDefault="002457B5">
      <w:pPr>
        <w:spacing w:after="120" w:line="240" w:lineRule="auto"/>
      </w:pPr>
      <w:r>
        <w:t>Early-career researchers are warmly encouraged to apply, and we invite prospective applicants to contact us before submitting to discuss how their work might align.</w:t>
      </w:r>
    </w:p>
    <w:p w14:paraId="10598727" w14:textId="77777777" w:rsidR="00E214BE" w:rsidRDefault="002457B5">
      <w:pPr>
        <w:pStyle w:val="Heading1"/>
        <w:keepNext w:val="0"/>
        <w:keepLines w:val="0"/>
        <w:spacing w:before="360" w:after="200" w:line="240" w:lineRule="auto"/>
        <w:rPr>
          <w:b/>
          <w:bCs/>
        </w:rPr>
      </w:pPr>
      <w:r>
        <w:rPr>
          <w:b/>
          <w:bCs/>
        </w:rPr>
        <w:t>What We Are Looking For</w:t>
      </w:r>
    </w:p>
    <w:p w14:paraId="55A2AE65" w14:textId="77777777" w:rsidR="00E214BE" w:rsidRDefault="002457B5">
      <w:r>
        <w:t xml:space="preserve">We expect all applications to include a focus on addressing inequalities (such as issues of class, differences in wealth/income/status, racism, discrimination). </w:t>
      </w:r>
    </w:p>
    <w:p w14:paraId="5D09409E" w14:textId="77777777" w:rsidR="00E214BE" w:rsidRDefault="00E214BE"/>
    <w:p w14:paraId="4700C4C4" w14:textId="77777777" w:rsidR="00E214BE" w:rsidRDefault="002457B5">
      <w:pPr>
        <w:spacing w:after="120" w:line="240" w:lineRule="auto"/>
      </w:pPr>
      <w:r>
        <w:t>We encourage researchers to develop innovative projects that:</w:t>
      </w:r>
    </w:p>
    <w:p w14:paraId="0389651B" w14:textId="77777777" w:rsidR="00E214BE" w:rsidRDefault="002457B5">
      <w:pPr>
        <w:numPr>
          <w:ilvl w:val="0"/>
          <w:numId w:val="2"/>
        </w:numPr>
        <w:spacing w:line="240" w:lineRule="auto"/>
      </w:pPr>
      <w:r>
        <w:t xml:space="preserve">Leverage </w:t>
      </w:r>
      <w:proofErr w:type="spellStart"/>
      <w:r>
        <w:t>BiB’s</w:t>
      </w:r>
      <w:proofErr w:type="spellEnd"/>
      <w:r>
        <w:t xml:space="preserve"> rich data and wider research resources</w:t>
      </w:r>
    </w:p>
    <w:p w14:paraId="48F85E60" w14:textId="77777777" w:rsidR="00E214BE" w:rsidRDefault="002457B5">
      <w:pPr>
        <w:numPr>
          <w:ilvl w:val="0"/>
          <w:numId w:val="2"/>
        </w:numPr>
        <w:spacing w:line="240" w:lineRule="auto"/>
      </w:pPr>
      <w:r>
        <w:t>Advance understanding of children’s and young people’s development, healthy places, inequalities, and health and wellbeing outcomes</w:t>
      </w:r>
    </w:p>
    <w:p w14:paraId="7B497119" w14:textId="77777777" w:rsidR="00E214BE" w:rsidRDefault="002457B5">
      <w:pPr>
        <w:numPr>
          <w:ilvl w:val="0"/>
          <w:numId w:val="2"/>
        </w:numPr>
        <w:spacing w:line="240" w:lineRule="auto"/>
      </w:pPr>
      <w:r>
        <w:t>Engage and empower communities in Bradford and beyond</w:t>
      </w:r>
    </w:p>
    <w:p w14:paraId="4B84BF52" w14:textId="77777777" w:rsidR="00E214BE" w:rsidRDefault="002457B5">
      <w:pPr>
        <w:numPr>
          <w:ilvl w:val="0"/>
          <w:numId w:val="2"/>
        </w:numPr>
        <w:spacing w:line="240" w:lineRule="auto"/>
      </w:pPr>
      <w:r>
        <w:t>Deliver evidence to inform policy and contribute to meaningful social change</w:t>
      </w:r>
    </w:p>
    <w:p w14:paraId="3EAC94B7" w14:textId="77777777" w:rsidR="00E214BE" w:rsidRDefault="002457B5">
      <w:pPr>
        <w:numPr>
          <w:ilvl w:val="0"/>
          <w:numId w:val="2"/>
        </w:numPr>
        <w:spacing w:line="240" w:lineRule="auto"/>
      </w:pPr>
      <w:r>
        <w:t xml:space="preserve">Connect to, or build upon, existing research funded by the </w:t>
      </w:r>
      <w:proofErr w:type="spellStart"/>
      <w:r>
        <w:t>BiB</w:t>
      </w:r>
      <w:proofErr w:type="spellEnd"/>
      <w:r>
        <w:t xml:space="preserve"> CSC at York to maximise collective impact</w:t>
      </w:r>
    </w:p>
    <w:p w14:paraId="7DD207D8" w14:textId="77777777" w:rsidR="00E214BE" w:rsidRDefault="002457B5">
      <w:pPr>
        <w:numPr>
          <w:ilvl w:val="0"/>
          <w:numId w:val="2"/>
        </w:numPr>
        <w:spacing w:line="240" w:lineRule="auto"/>
      </w:pPr>
      <w:r>
        <w:lastRenderedPageBreak/>
        <w:t>Demonstrate a clear, named policy engagement pathway: not just policy relevance, but active plans to engage specific stakeholders</w:t>
      </w:r>
    </w:p>
    <w:p w14:paraId="7D83E1BA" w14:textId="77777777" w:rsidR="00E214BE" w:rsidRDefault="002457B5">
      <w:pPr>
        <w:numPr>
          <w:ilvl w:val="0"/>
          <w:numId w:val="2"/>
        </w:numPr>
        <w:spacing w:line="240" w:lineRule="auto"/>
      </w:pPr>
      <w:r>
        <w:t>Have potential to lever further external funding (e.g. UKRI, ESRC, What Works centres, NIHR)</w:t>
      </w:r>
    </w:p>
    <w:p w14:paraId="47778AF1" w14:textId="77777777" w:rsidR="00E214BE" w:rsidRDefault="002457B5">
      <w:pPr>
        <w:pStyle w:val="Heading1"/>
        <w:keepNext w:val="0"/>
        <w:keepLines w:val="0"/>
        <w:spacing w:before="360" w:after="200" w:line="240" w:lineRule="auto"/>
        <w:rPr>
          <w:b/>
          <w:bCs/>
        </w:rPr>
      </w:pPr>
      <w:r>
        <w:rPr>
          <w:b/>
          <w:bCs/>
        </w:rPr>
        <w:t>Strategic Themes</w:t>
      </w:r>
    </w:p>
    <w:p w14:paraId="501A0875" w14:textId="77777777" w:rsidR="00E214BE" w:rsidRDefault="002457B5">
      <w:pPr>
        <w:spacing w:after="120" w:line="240" w:lineRule="auto"/>
        <w:rPr>
          <w:b/>
          <w:bCs/>
          <w:color w:val="1F3864"/>
        </w:rPr>
      </w:pPr>
      <w:r>
        <w:t>We are seeking applications that align with the following strategic themes:</w:t>
      </w:r>
    </w:p>
    <w:tbl>
      <w:tblPr>
        <w:tblStyle w:val="a1"/>
        <w:tblW w:w="90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65"/>
        <w:gridCol w:w="6760"/>
      </w:tblGrid>
      <w:tr w:rsidR="00E214BE" w14:paraId="7E930CB9" w14:textId="77777777">
        <w:trPr>
          <w:trHeight w:val="480"/>
        </w:trPr>
        <w:tc>
          <w:tcPr>
            <w:tcW w:w="2265" w:type="dxa"/>
            <w:tcBorders>
              <w:top w:val="single" w:sz="8" w:space="0" w:color="000000"/>
              <w:left w:val="single" w:sz="8" w:space="0" w:color="000000"/>
              <w:bottom w:val="single" w:sz="8" w:space="0" w:color="000000"/>
              <w:right w:val="single" w:sz="8" w:space="0" w:color="000000"/>
            </w:tcBorders>
            <w:shd w:val="clear" w:color="auto" w:fill="1F3864"/>
            <w:tcMar>
              <w:top w:w="100" w:type="dxa"/>
              <w:left w:w="140" w:type="dxa"/>
              <w:bottom w:w="100" w:type="dxa"/>
              <w:right w:w="140" w:type="dxa"/>
            </w:tcMar>
          </w:tcPr>
          <w:p w14:paraId="11C3403B" w14:textId="77777777" w:rsidR="00E214BE" w:rsidRDefault="002457B5">
            <w:pPr>
              <w:rPr>
                <w:b/>
                <w:bCs/>
                <w:color w:val="FFFFFF"/>
              </w:rPr>
            </w:pPr>
            <w:r>
              <w:rPr>
                <w:b/>
                <w:bCs/>
                <w:color w:val="FFFFFF"/>
              </w:rPr>
              <w:t>Theme</w:t>
            </w:r>
          </w:p>
        </w:tc>
        <w:tc>
          <w:tcPr>
            <w:tcW w:w="6760" w:type="dxa"/>
            <w:tcBorders>
              <w:top w:val="single" w:sz="8" w:space="0" w:color="000000"/>
              <w:left w:val="nil"/>
              <w:bottom w:val="single" w:sz="8" w:space="0" w:color="000000"/>
              <w:right w:val="single" w:sz="8" w:space="0" w:color="000000"/>
            </w:tcBorders>
            <w:shd w:val="clear" w:color="auto" w:fill="1F3864"/>
            <w:tcMar>
              <w:top w:w="100" w:type="dxa"/>
              <w:left w:w="140" w:type="dxa"/>
              <w:bottom w:w="100" w:type="dxa"/>
              <w:right w:w="140" w:type="dxa"/>
            </w:tcMar>
          </w:tcPr>
          <w:p w14:paraId="0A83D51A" w14:textId="77777777" w:rsidR="00E214BE" w:rsidRDefault="002457B5">
            <w:pPr>
              <w:rPr>
                <w:b/>
                <w:bCs/>
                <w:color w:val="FFFFFF"/>
              </w:rPr>
            </w:pPr>
            <w:r>
              <w:rPr>
                <w:b/>
                <w:bCs/>
                <w:color w:val="FFFFFF"/>
              </w:rPr>
              <w:t>Focus</w:t>
            </w:r>
          </w:p>
        </w:tc>
      </w:tr>
      <w:tr w:rsidR="00E214BE" w14:paraId="5A59DFE1" w14:textId="77777777">
        <w:trPr>
          <w:trHeight w:val="1800"/>
        </w:trPr>
        <w:tc>
          <w:tcPr>
            <w:tcW w:w="2265" w:type="dxa"/>
            <w:tcBorders>
              <w:top w:val="nil"/>
              <w:left w:val="single" w:sz="8" w:space="0" w:color="000000"/>
              <w:bottom w:val="single" w:sz="8" w:space="0" w:color="000000"/>
              <w:right w:val="single" w:sz="8" w:space="0" w:color="000000"/>
            </w:tcBorders>
            <w:shd w:val="clear" w:color="auto" w:fill="DCE6F1"/>
            <w:tcMar>
              <w:top w:w="140" w:type="dxa"/>
              <w:left w:w="140" w:type="dxa"/>
              <w:bottom w:w="140" w:type="dxa"/>
              <w:right w:w="140" w:type="dxa"/>
            </w:tcMar>
          </w:tcPr>
          <w:p w14:paraId="6A5C23F1" w14:textId="77777777" w:rsidR="00E214BE" w:rsidRDefault="002457B5">
            <w:pPr>
              <w:rPr>
                <w:b/>
                <w:bCs/>
              </w:rPr>
            </w:pPr>
            <w:r>
              <w:rPr>
                <w:b/>
                <w:bCs/>
              </w:rPr>
              <w:t>Youth and Young Adult Opportunities and Transitions</w:t>
            </w:r>
          </w:p>
        </w:tc>
        <w:tc>
          <w:tcPr>
            <w:tcW w:w="6760" w:type="dxa"/>
            <w:tcBorders>
              <w:top w:val="nil"/>
              <w:left w:val="nil"/>
              <w:bottom w:val="single" w:sz="8" w:space="0" w:color="000000"/>
              <w:right w:val="single" w:sz="8" w:space="0" w:color="000000"/>
            </w:tcBorders>
            <w:shd w:val="clear" w:color="auto" w:fill="DCE6F1"/>
            <w:tcMar>
              <w:top w:w="140" w:type="dxa"/>
              <w:left w:w="140" w:type="dxa"/>
              <w:bottom w:w="140" w:type="dxa"/>
              <w:right w:w="140" w:type="dxa"/>
            </w:tcMar>
          </w:tcPr>
          <w:p w14:paraId="6BDBD5CD" w14:textId="77777777" w:rsidR="00E214BE" w:rsidRDefault="002457B5">
            <w:pPr>
              <w:spacing w:after="200" w:line="240" w:lineRule="auto"/>
            </w:pPr>
            <w:r>
              <w:t xml:space="preserve">Supporting young people’s transition into adulthood and tackling economic health divides, connected to live policy agendas (NEET, Healthy Working Life, Combined Authority devolved responsibilities). Priorities include entry routes into growth sectors such as the Creative Industries (gaming, tech, audio-visual) and the impact of AI on young people’s futures, employment and mental health. Collaboration with </w:t>
            </w:r>
            <w:proofErr w:type="spellStart"/>
            <w:r>
              <w:t>BiB</w:t>
            </w:r>
            <w:proofErr w:type="spellEnd"/>
            <w:r>
              <w:t>, community, industry and/or policy partners is essential.</w:t>
            </w:r>
          </w:p>
          <w:p w14:paraId="6BA5FFF9" w14:textId="77777777" w:rsidR="00E214BE" w:rsidRDefault="002457B5">
            <w:pPr>
              <w:spacing w:line="240" w:lineRule="auto"/>
            </w:pPr>
            <w:r>
              <w:t xml:space="preserve">Please contact Dr Bridget Lockyer at </w:t>
            </w:r>
            <w:proofErr w:type="spellStart"/>
            <w:r>
              <w:t>BiB</w:t>
            </w:r>
            <w:proofErr w:type="spellEnd"/>
            <w:r>
              <w:t xml:space="preserve"> for a further discussion: </w:t>
            </w:r>
            <w:r>
              <w:rPr>
                <w:color w:val="0E72B4"/>
                <w:u w:val="single"/>
              </w:rPr>
              <w:t>Bridget.Lockyer@bthft.nhs.uk</w:t>
            </w:r>
          </w:p>
        </w:tc>
      </w:tr>
      <w:tr w:rsidR="00E214BE" w14:paraId="63DB7175" w14:textId="77777777">
        <w:trPr>
          <w:trHeight w:val="1800"/>
        </w:trPr>
        <w:tc>
          <w:tcPr>
            <w:tcW w:w="2265" w:type="dxa"/>
            <w:tcBorders>
              <w:top w:val="nil"/>
              <w:left w:val="single" w:sz="8" w:space="0" w:color="000000"/>
              <w:bottom w:val="single" w:sz="8" w:space="0" w:color="000000"/>
              <w:right w:val="single" w:sz="8" w:space="0" w:color="000000"/>
            </w:tcBorders>
            <w:shd w:val="clear" w:color="auto" w:fill="FFFFFF"/>
            <w:tcMar>
              <w:top w:w="140" w:type="dxa"/>
              <w:left w:w="140" w:type="dxa"/>
              <w:bottom w:w="140" w:type="dxa"/>
              <w:right w:w="140" w:type="dxa"/>
            </w:tcMar>
          </w:tcPr>
          <w:p w14:paraId="44EE8E49" w14:textId="77777777" w:rsidR="00E214BE" w:rsidRDefault="002457B5">
            <w:pPr>
              <w:rPr>
                <w:b/>
                <w:bCs/>
              </w:rPr>
            </w:pPr>
            <w:r>
              <w:rPr>
                <w:b/>
                <w:bCs/>
              </w:rPr>
              <w:t>Mental Health</w:t>
            </w:r>
          </w:p>
        </w:tc>
        <w:tc>
          <w:tcPr>
            <w:tcW w:w="6760" w:type="dxa"/>
            <w:tcBorders>
              <w:top w:val="nil"/>
              <w:left w:val="nil"/>
              <w:bottom w:val="single" w:sz="8" w:space="0" w:color="000000"/>
              <w:right w:val="single" w:sz="8" w:space="0" w:color="000000"/>
            </w:tcBorders>
            <w:shd w:val="clear" w:color="auto" w:fill="FFFFFF"/>
            <w:tcMar>
              <w:top w:w="140" w:type="dxa"/>
              <w:left w:w="140" w:type="dxa"/>
              <w:bottom w:w="140" w:type="dxa"/>
              <w:right w:w="140" w:type="dxa"/>
            </w:tcMar>
          </w:tcPr>
          <w:p w14:paraId="0ED54E4E" w14:textId="77777777" w:rsidR="00E214BE" w:rsidRDefault="002457B5">
            <w:pPr>
              <w:spacing w:after="200" w:line="240" w:lineRule="auto"/>
            </w:pPr>
            <w:r>
              <w:t>Interdisciplinary approaches to children and young people’s mental health, including ethnic inequalities, family and social factors, digital lives (social media, AI/chatbots) and sleep. Proposals should tackle inequalities in access and outcomes, address structural factors such as early years, loneliness and social connection, and move beyond mapping inequalities towards identifying protective factors and testing interventions. Cross-disciplinary, participatory approaches with clear policy relevance are enc</w:t>
            </w:r>
            <w:r>
              <w:t>ouraged.</w:t>
            </w:r>
          </w:p>
          <w:p w14:paraId="2829BA43" w14:textId="77777777" w:rsidR="00E214BE" w:rsidRDefault="002457B5">
            <w:pPr>
              <w:spacing w:line="240" w:lineRule="auto"/>
            </w:pPr>
            <w:r>
              <w:t xml:space="preserve">Please contact Dan Lewer, Consultant in Public Health at </w:t>
            </w:r>
            <w:proofErr w:type="spellStart"/>
            <w:r>
              <w:t>BiB</w:t>
            </w:r>
            <w:proofErr w:type="spellEnd"/>
            <w:r>
              <w:t xml:space="preserve">, for a further discussion: </w:t>
            </w:r>
            <w:r>
              <w:rPr>
                <w:color w:val="0E72B4"/>
                <w:u w:val="single"/>
              </w:rPr>
              <w:t>Dan.Lewer@bthft.nhs.uk</w:t>
            </w:r>
          </w:p>
        </w:tc>
      </w:tr>
      <w:tr w:rsidR="00E214BE" w14:paraId="7E3D0BBE" w14:textId="77777777">
        <w:trPr>
          <w:trHeight w:val="2055"/>
        </w:trPr>
        <w:tc>
          <w:tcPr>
            <w:tcW w:w="2265" w:type="dxa"/>
            <w:tcBorders>
              <w:top w:val="nil"/>
              <w:left w:val="single" w:sz="8" w:space="0" w:color="000000"/>
              <w:bottom w:val="single" w:sz="8" w:space="0" w:color="000000"/>
              <w:right w:val="single" w:sz="8" w:space="0" w:color="000000"/>
            </w:tcBorders>
            <w:shd w:val="clear" w:color="auto" w:fill="DCE6F1"/>
            <w:tcMar>
              <w:top w:w="140" w:type="dxa"/>
              <w:left w:w="140" w:type="dxa"/>
              <w:bottom w:w="140" w:type="dxa"/>
              <w:right w:w="140" w:type="dxa"/>
            </w:tcMar>
          </w:tcPr>
          <w:p w14:paraId="749C7C87" w14:textId="77777777" w:rsidR="00E214BE" w:rsidRDefault="002457B5">
            <w:pPr>
              <w:rPr>
                <w:b/>
                <w:bCs/>
              </w:rPr>
            </w:pPr>
            <w:r>
              <w:rPr>
                <w:b/>
                <w:bCs/>
              </w:rPr>
              <w:t>Age of Wonder Data Dashboard</w:t>
            </w:r>
          </w:p>
        </w:tc>
        <w:tc>
          <w:tcPr>
            <w:tcW w:w="6760" w:type="dxa"/>
            <w:tcBorders>
              <w:top w:val="nil"/>
              <w:left w:val="nil"/>
              <w:bottom w:val="single" w:sz="8" w:space="0" w:color="000000"/>
              <w:right w:val="single" w:sz="8" w:space="0" w:color="000000"/>
            </w:tcBorders>
            <w:shd w:val="clear" w:color="auto" w:fill="DCE6F1"/>
            <w:tcMar>
              <w:top w:w="140" w:type="dxa"/>
              <w:left w:w="140" w:type="dxa"/>
              <w:bottom w:w="140" w:type="dxa"/>
              <w:right w:w="140" w:type="dxa"/>
            </w:tcMar>
          </w:tcPr>
          <w:p w14:paraId="32623DE1" w14:textId="77777777" w:rsidR="00E214BE" w:rsidRDefault="002457B5">
            <w:pPr>
              <w:spacing w:after="200" w:line="240" w:lineRule="auto"/>
            </w:pPr>
            <w:r>
              <w:t xml:space="preserve">Engaging with the </w:t>
            </w:r>
            <w:proofErr w:type="spellStart"/>
            <w:r>
              <w:t>BiB</w:t>
            </w:r>
            <w:proofErr w:type="spellEnd"/>
            <w:r>
              <w:t xml:space="preserve"> Age of Wonder Data Dashboard, which gives school senior leadership teams access to pupil-level wellbeing data (including mental health, social media use, bullying and healthy lifestyles) to inform assemblies, personal development curricula, and safeguarding and inspection evidence. Priorities include evaluating how schools translate dashboard data into strategic and operational </w:t>
            </w:r>
            <w:proofErr w:type="gramStart"/>
            <w:r>
              <w:t>change, and</w:t>
            </w:r>
            <w:proofErr w:type="gramEnd"/>
            <w:r>
              <w:t xml:space="preserve"> developing the platform as more longitudinal data accumulates. Collaboration with Age of Wonder and the Adolescent </w:t>
            </w:r>
            <w:r>
              <w:t>Mental Health Collaboratory is essential.</w:t>
            </w:r>
          </w:p>
          <w:p w14:paraId="7DECBDDF" w14:textId="77777777" w:rsidR="00E214BE" w:rsidRDefault="002457B5">
            <w:pPr>
              <w:spacing w:line="240" w:lineRule="auto"/>
            </w:pPr>
            <w:r>
              <w:lastRenderedPageBreak/>
              <w:t xml:space="preserve">Please contact Dr Sally Barber, Lead for Physical Activity Research at </w:t>
            </w:r>
            <w:proofErr w:type="spellStart"/>
            <w:r>
              <w:t>BiB</w:t>
            </w:r>
            <w:proofErr w:type="spellEnd"/>
            <w:r>
              <w:t xml:space="preserve">, for a further discussion: </w:t>
            </w:r>
            <w:r>
              <w:rPr>
                <w:color w:val="0E72B4"/>
                <w:u w:val="single"/>
              </w:rPr>
              <w:t>Sally.Barber@bthft.nhs.uk</w:t>
            </w:r>
          </w:p>
        </w:tc>
      </w:tr>
      <w:tr w:rsidR="00E214BE" w14:paraId="1593EA34" w14:textId="77777777">
        <w:trPr>
          <w:trHeight w:val="1545"/>
        </w:trPr>
        <w:tc>
          <w:tcPr>
            <w:tcW w:w="2265" w:type="dxa"/>
            <w:tcBorders>
              <w:top w:val="nil"/>
              <w:left w:val="single" w:sz="8" w:space="0" w:color="000000"/>
              <w:bottom w:val="single" w:sz="8" w:space="0" w:color="000000"/>
              <w:right w:val="single" w:sz="8" w:space="0" w:color="000000"/>
            </w:tcBorders>
            <w:shd w:val="clear" w:color="auto" w:fill="DCE6F1"/>
            <w:tcMar>
              <w:top w:w="140" w:type="dxa"/>
              <w:left w:w="140" w:type="dxa"/>
              <w:bottom w:w="140" w:type="dxa"/>
              <w:right w:w="140" w:type="dxa"/>
            </w:tcMar>
          </w:tcPr>
          <w:p w14:paraId="06F8826B" w14:textId="77777777" w:rsidR="00E214BE" w:rsidRDefault="002457B5">
            <w:pPr>
              <w:rPr>
                <w:b/>
                <w:bCs/>
              </w:rPr>
            </w:pPr>
            <w:r>
              <w:rPr>
                <w:b/>
                <w:bCs/>
              </w:rPr>
              <w:lastRenderedPageBreak/>
              <w:t>Healthy Urban Places</w:t>
            </w:r>
          </w:p>
        </w:tc>
        <w:tc>
          <w:tcPr>
            <w:tcW w:w="6760" w:type="dxa"/>
            <w:tcBorders>
              <w:top w:val="nil"/>
              <w:left w:val="nil"/>
              <w:bottom w:val="single" w:sz="8" w:space="0" w:color="000000"/>
              <w:right w:val="single" w:sz="8" w:space="0" w:color="000000"/>
            </w:tcBorders>
            <w:shd w:val="clear" w:color="auto" w:fill="DCE6F1"/>
            <w:tcMar>
              <w:top w:w="140" w:type="dxa"/>
              <w:left w:w="140" w:type="dxa"/>
              <w:bottom w:w="140" w:type="dxa"/>
              <w:right w:w="140" w:type="dxa"/>
            </w:tcMar>
          </w:tcPr>
          <w:p w14:paraId="06B0093C" w14:textId="77777777" w:rsidR="00E214BE" w:rsidRDefault="002457B5">
            <w:pPr>
              <w:spacing w:after="200" w:line="240" w:lineRule="auto"/>
            </w:pPr>
            <w:r>
              <w:t>Sustainable, health-focused urban environments that promote equity, wellbeing and resilience. This spans transport (public transport access, reliability and connectivity; road and community safety; and air quality and noise as health determinants), climate adaptation, community cohesion, economic inclusion, inclusive regeneration, pollution, biodiversity and environmental degradation, and inclusive provision for families with SEND and neurodivergent children. Proposals should combine scientific innovation w</w:t>
            </w:r>
            <w:r>
              <w:t>ith policy relevance and strong community involvement.</w:t>
            </w:r>
          </w:p>
          <w:p w14:paraId="2A5EE56A" w14:textId="77777777" w:rsidR="00E214BE" w:rsidRDefault="002457B5">
            <w:pPr>
              <w:spacing w:line="240" w:lineRule="auto"/>
            </w:pPr>
            <w:r>
              <w:t xml:space="preserve">Please contact Dr Emily Nix, Research Programme Coordinator at </w:t>
            </w:r>
            <w:proofErr w:type="spellStart"/>
            <w:r>
              <w:t>BiB</w:t>
            </w:r>
            <w:proofErr w:type="spellEnd"/>
            <w:r>
              <w:t xml:space="preserve">, for a further discussion: </w:t>
            </w:r>
            <w:r>
              <w:rPr>
                <w:color w:val="0E72B4"/>
                <w:u w:val="single"/>
              </w:rPr>
              <w:t>Emily.Nix@bthft.nhs.uk</w:t>
            </w:r>
          </w:p>
        </w:tc>
      </w:tr>
      <w:tr w:rsidR="00E214BE" w14:paraId="5BD48DDC" w14:textId="77777777">
        <w:trPr>
          <w:trHeight w:val="1050"/>
        </w:trPr>
        <w:tc>
          <w:tcPr>
            <w:tcW w:w="2265" w:type="dxa"/>
            <w:tcBorders>
              <w:top w:val="nil"/>
              <w:left w:val="single" w:sz="8" w:space="0" w:color="000000"/>
              <w:bottom w:val="single" w:sz="8" w:space="0" w:color="000000"/>
              <w:right w:val="single" w:sz="8" w:space="0" w:color="000000"/>
            </w:tcBorders>
            <w:shd w:val="clear" w:color="auto" w:fill="FFFFFF"/>
            <w:tcMar>
              <w:top w:w="140" w:type="dxa"/>
              <w:left w:w="140" w:type="dxa"/>
              <w:bottom w:w="140" w:type="dxa"/>
              <w:right w:w="140" w:type="dxa"/>
            </w:tcMar>
          </w:tcPr>
          <w:p w14:paraId="668C866F" w14:textId="77777777" w:rsidR="00E214BE" w:rsidRDefault="002457B5">
            <w:pPr>
              <w:rPr>
                <w:b/>
                <w:bCs/>
              </w:rPr>
            </w:pPr>
            <w:r>
              <w:rPr>
                <w:b/>
                <w:bCs/>
              </w:rPr>
              <w:t>Fuel Poverty and Environmental Child Health</w:t>
            </w:r>
          </w:p>
        </w:tc>
        <w:tc>
          <w:tcPr>
            <w:tcW w:w="6760" w:type="dxa"/>
            <w:tcBorders>
              <w:top w:val="nil"/>
              <w:left w:val="nil"/>
              <w:bottom w:val="single" w:sz="8" w:space="0" w:color="000000"/>
              <w:right w:val="single" w:sz="8" w:space="0" w:color="000000"/>
            </w:tcBorders>
            <w:shd w:val="clear" w:color="auto" w:fill="FFFFFF"/>
            <w:tcMar>
              <w:top w:w="140" w:type="dxa"/>
              <w:left w:w="140" w:type="dxa"/>
              <w:bottom w:w="140" w:type="dxa"/>
              <w:right w:w="140" w:type="dxa"/>
            </w:tcMar>
          </w:tcPr>
          <w:p w14:paraId="380E3D58" w14:textId="77777777" w:rsidR="00E214BE" w:rsidRDefault="002457B5">
            <w:pPr>
              <w:spacing w:after="200" w:line="240" w:lineRule="auto"/>
            </w:pPr>
            <w:r>
              <w:t>Cold homes, indoor air quality, and the health implications of retrofit and the net zero transition for children and families. Proposals should consider how these environmental determinants intersect with housing quality, income and health outcomes.</w:t>
            </w:r>
          </w:p>
          <w:p w14:paraId="15543DD3" w14:textId="77777777" w:rsidR="00E214BE" w:rsidRDefault="002457B5">
            <w:pPr>
              <w:spacing w:line="240" w:lineRule="auto"/>
            </w:pPr>
            <w:r>
              <w:t xml:space="preserve">Please contact Ella Foggitt, Senior Research Fellow/Study Manager at </w:t>
            </w:r>
            <w:proofErr w:type="spellStart"/>
            <w:r>
              <w:t>BiB</w:t>
            </w:r>
            <w:proofErr w:type="spellEnd"/>
            <w:r>
              <w:t xml:space="preserve">, for a further discussion: </w:t>
            </w:r>
            <w:r>
              <w:rPr>
                <w:color w:val="0E72B4"/>
                <w:u w:val="single"/>
              </w:rPr>
              <w:t>Ella.Foggitt@bthft.nhs.uk</w:t>
            </w:r>
          </w:p>
        </w:tc>
      </w:tr>
      <w:tr w:rsidR="00E214BE" w14:paraId="1C096DE5" w14:textId="77777777">
        <w:trPr>
          <w:trHeight w:val="1305"/>
        </w:trPr>
        <w:tc>
          <w:tcPr>
            <w:tcW w:w="2265" w:type="dxa"/>
            <w:tcBorders>
              <w:top w:val="nil"/>
              <w:left w:val="single" w:sz="8" w:space="0" w:color="000000"/>
              <w:bottom w:val="single" w:sz="8" w:space="0" w:color="000000"/>
              <w:right w:val="single" w:sz="8" w:space="0" w:color="000000"/>
            </w:tcBorders>
            <w:shd w:val="clear" w:color="auto" w:fill="DCE6F1"/>
            <w:tcMar>
              <w:top w:w="140" w:type="dxa"/>
              <w:left w:w="140" w:type="dxa"/>
              <w:bottom w:w="140" w:type="dxa"/>
              <w:right w:w="140" w:type="dxa"/>
            </w:tcMar>
          </w:tcPr>
          <w:p w14:paraId="04531255" w14:textId="77777777" w:rsidR="00E214BE" w:rsidRDefault="002457B5">
            <w:pPr>
              <w:rPr>
                <w:b/>
                <w:bCs/>
              </w:rPr>
            </w:pPr>
            <w:r>
              <w:rPr>
                <w:b/>
                <w:bCs/>
              </w:rPr>
              <w:t>Tolerance, Justice and Discrimination</w:t>
            </w:r>
          </w:p>
        </w:tc>
        <w:tc>
          <w:tcPr>
            <w:tcW w:w="6760" w:type="dxa"/>
            <w:tcBorders>
              <w:top w:val="nil"/>
              <w:left w:val="nil"/>
              <w:bottom w:val="single" w:sz="8" w:space="0" w:color="000000"/>
              <w:right w:val="single" w:sz="8" w:space="0" w:color="000000"/>
            </w:tcBorders>
            <w:shd w:val="clear" w:color="auto" w:fill="DCE6F1"/>
            <w:tcMar>
              <w:top w:w="140" w:type="dxa"/>
              <w:left w:w="140" w:type="dxa"/>
              <w:bottom w:w="140" w:type="dxa"/>
              <w:right w:w="140" w:type="dxa"/>
            </w:tcMar>
          </w:tcPr>
          <w:p w14:paraId="01F2FF74" w14:textId="77777777" w:rsidR="00E214BE" w:rsidRDefault="002457B5">
            <w:pPr>
              <w:spacing w:after="200" w:line="240" w:lineRule="auto"/>
            </w:pPr>
            <w:r>
              <w:t>Practical interventions addressing employment, aspirations, social mobility and inclusion for 18–24-year-olds. Research must reduce discrimination, promote justice and foster inclusion, with clear pathways to real-world impact. Collaboration with communities and policy partners is essential.</w:t>
            </w:r>
          </w:p>
          <w:p w14:paraId="623EBDEF" w14:textId="77777777" w:rsidR="00E214BE" w:rsidRDefault="002457B5">
            <w:pPr>
              <w:spacing w:line="240" w:lineRule="auto"/>
            </w:pPr>
            <w:r>
              <w:t xml:space="preserve">Please contact Dr Sunil Bhopal, </w:t>
            </w:r>
            <w:r>
              <w:rPr>
                <w:color w:val="1C1C1C"/>
              </w:rPr>
              <w:t xml:space="preserve">Director of Child Health </w:t>
            </w:r>
            <w:proofErr w:type="gramStart"/>
            <w:r>
              <w:rPr>
                <w:color w:val="1C1C1C"/>
              </w:rPr>
              <w:t>Research</w:t>
            </w:r>
            <w:r>
              <w:rPr>
                <w:sz w:val="22"/>
                <w:szCs w:val="22"/>
              </w:rPr>
              <w:t xml:space="preserve"> </w:t>
            </w:r>
            <w:r>
              <w:t xml:space="preserve"> at</w:t>
            </w:r>
            <w:proofErr w:type="gramEnd"/>
            <w:r>
              <w:t xml:space="preserve"> </w:t>
            </w:r>
            <w:proofErr w:type="spellStart"/>
            <w:r>
              <w:t>BiB</w:t>
            </w:r>
            <w:proofErr w:type="spellEnd"/>
            <w:r>
              <w:t xml:space="preserve"> for a further discussion: </w:t>
            </w:r>
            <w:r>
              <w:rPr>
                <w:color w:val="0E72B4"/>
                <w:u w:val="single"/>
              </w:rPr>
              <w:t>Sunil.Bhopal@bthft.nhs.uk</w:t>
            </w:r>
          </w:p>
        </w:tc>
      </w:tr>
      <w:tr w:rsidR="00E214BE" w14:paraId="0345A3E4" w14:textId="77777777">
        <w:trPr>
          <w:trHeight w:val="1305"/>
        </w:trPr>
        <w:tc>
          <w:tcPr>
            <w:tcW w:w="2265" w:type="dxa"/>
            <w:tcBorders>
              <w:top w:val="nil"/>
              <w:left w:val="single" w:sz="8" w:space="0" w:color="000000"/>
              <w:bottom w:val="single" w:sz="8" w:space="0" w:color="000000"/>
              <w:right w:val="single" w:sz="8" w:space="0" w:color="000000"/>
            </w:tcBorders>
            <w:shd w:val="clear" w:color="auto" w:fill="FFFFFF"/>
            <w:tcMar>
              <w:top w:w="140" w:type="dxa"/>
              <w:left w:w="140" w:type="dxa"/>
              <w:bottom w:w="140" w:type="dxa"/>
              <w:right w:w="140" w:type="dxa"/>
            </w:tcMar>
          </w:tcPr>
          <w:p w14:paraId="30C99C2B" w14:textId="77777777" w:rsidR="00E214BE" w:rsidRDefault="002457B5">
            <w:pPr>
              <w:rPr>
                <w:b/>
                <w:bCs/>
              </w:rPr>
            </w:pPr>
            <w:r>
              <w:rPr>
                <w:b/>
                <w:bCs/>
              </w:rPr>
              <w:t>Vaccination Uptake and Hesitancy</w:t>
            </w:r>
          </w:p>
        </w:tc>
        <w:tc>
          <w:tcPr>
            <w:tcW w:w="6760" w:type="dxa"/>
            <w:tcBorders>
              <w:top w:val="nil"/>
              <w:left w:val="nil"/>
              <w:bottom w:val="single" w:sz="8" w:space="0" w:color="000000"/>
              <w:right w:val="single" w:sz="8" w:space="0" w:color="000000"/>
            </w:tcBorders>
            <w:shd w:val="clear" w:color="auto" w:fill="FFFFFF"/>
            <w:tcMar>
              <w:top w:w="140" w:type="dxa"/>
              <w:left w:w="140" w:type="dxa"/>
              <w:bottom w:w="140" w:type="dxa"/>
              <w:right w:w="140" w:type="dxa"/>
            </w:tcMar>
          </w:tcPr>
          <w:p w14:paraId="4178FD61" w14:textId="77777777" w:rsidR="00E214BE" w:rsidRDefault="002457B5">
            <w:pPr>
              <w:spacing w:after="200" w:line="240" w:lineRule="auto"/>
            </w:pPr>
            <w:r>
              <w:t>Drivers of low teenage HPV vaccination uptake (particularly in Bradford), including the influence of social media/TikTok and parental beliefs, alongside preschool immunisations and maternal vaccination (including RSV). Proposals should design and evaluate interventions to improve uptake.</w:t>
            </w:r>
          </w:p>
          <w:p w14:paraId="599D5152" w14:textId="77777777" w:rsidR="00E214BE" w:rsidRDefault="002457B5">
            <w:pPr>
              <w:spacing w:line="240" w:lineRule="auto"/>
            </w:pPr>
            <w:r>
              <w:t>Please contact Dr Sunil Bhopal,</w:t>
            </w:r>
            <w:r>
              <w:t xml:space="preserve"> </w:t>
            </w:r>
            <w:r>
              <w:rPr>
                <w:color w:val="1C1C1C"/>
              </w:rPr>
              <w:t xml:space="preserve">Director of Child Health </w:t>
            </w:r>
            <w:proofErr w:type="gramStart"/>
            <w:r>
              <w:rPr>
                <w:color w:val="1C1C1C"/>
              </w:rPr>
              <w:t>Research</w:t>
            </w:r>
            <w:r>
              <w:rPr>
                <w:sz w:val="22"/>
                <w:szCs w:val="22"/>
              </w:rPr>
              <w:t xml:space="preserve"> </w:t>
            </w:r>
            <w:r>
              <w:t xml:space="preserve"> at</w:t>
            </w:r>
            <w:proofErr w:type="gramEnd"/>
            <w:r>
              <w:t xml:space="preserve"> </w:t>
            </w:r>
            <w:proofErr w:type="spellStart"/>
            <w:r>
              <w:t>BiB</w:t>
            </w:r>
            <w:proofErr w:type="spellEnd"/>
            <w:r>
              <w:t xml:space="preserve"> for a further discussion: </w:t>
            </w:r>
            <w:r>
              <w:rPr>
                <w:color w:val="0E72B4"/>
                <w:u w:val="single"/>
              </w:rPr>
              <w:t>Sunil.Bhopal@bthft.nhs.uk</w:t>
            </w:r>
          </w:p>
        </w:tc>
      </w:tr>
      <w:tr w:rsidR="00E214BE" w14:paraId="70DAD744" w14:textId="77777777">
        <w:trPr>
          <w:trHeight w:val="1050"/>
        </w:trPr>
        <w:tc>
          <w:tcPr>
            <w:tcW w:w="2265" w:type="dxa"/>
            <w:tcBorders>
              <w:top w:val="nil"/>
              <w:left w:val="single" w:sz="8" w:space="0" w:color="000000"/>
              <w:bottom w:val="single" w:sz="8" w:space="0" w:color="000000"/>
              <w:right w:val="single" w:sz="8" w:space="0" w:color="000000"/>
            </w:tcBorders>
            <w:shd w:val="clear" w:color="auto" w:fill="DCE6F1"/>
            <w:tcMar>
              <w:top w:w="140" w:type="dxa"/>
              <w:left w:w="140" w:type="dxa"/>
              <w:bottom w:w="140" w:type="dxa"/>
              <w:right w:w="140" w:type="dxa"/>
            </w:tcMar>
          </w:tcPr>
          <w:p w14:paraId="21AD00ED" w14:textId="77777777" w:rsidR="00E214BE" w:rsidRDefault="002457B5">
            <w:pPr>
              <w:rPr>
                <w:b/>
                <w:bCs/>
              </w:rPr>
            </w:pPr>
            <w:r>
              <w:rPr>
                <w:b/>
                <w:bCs/>
              </w:rPr>
              <w:lastRenderedPageBreak/>
              <w:t>Citizen Science and Innovative Methodologies to Connect to Action</w:t>
            </w:r>
          </w:p>
        </w:tc>
        <w:tc>
          <w:tcPr>
            <w:tcW w:w="6760" w:type="dxa"/>
            <w:tcBorders>
              <w:top w:val="nil"/>
              <w:left w:val="nil"/>
              <w:bottom w:val="single" w:sz="8" w:space="0" w:color="000000"/>
              <w:right w:val="single" w:sz="8" w:space="0" w:color="000000"/>
            </w:tcBorders>
            <w:shd w:val="clear" w:color="auto" w:fill="DCE6F1"/>
            <w:tcMar>
              <w:top w:w="140" w:type="dxa"/>
              <w:left w:w="140" w:type="dxa"/>
              <w:bottom w:w="140" w:type="dxa"/>
              <w:right w:w="140" w:type="dxa"/>
            </w:tcMar>
          </w:tcPr>
          <w:p w14:paraId="05094631" w14:textId="77777777" w:rsidR="00E214BE" w:rsidRDefault="002457B5">
            <w:pPr>
              <w:spacing w:after="200" w:line="240" w:lineRule="auto"/>
            </w:pPr>
            <w:r>
              <w:t xml:space="preserve">Participatory and citizen science approaches involving communities as active partners in research design and delivery, including innovative use of </w:t>
            </w:r>
            <w:proofErr w:type="spellStart"/>
            <w:r>
              <w:t>BiB</w:t>
            </w:r>
            <w:proofErr w:type="spellEnd"/>
            <w:r>
              <w:t xml:space="preserve"> data and projects that bridge academic and community knowledge.</w:t>
            </w:r>
          </w:p>
          <w:p w14:paraId="4FD671DC" w14:textId="77777777" w:rsidR="00E214BE" w:rsidRDefault="002457B5">
            <w:pPr>
              <w:spacing w:line="240" w:lineRule="auto"/>
            </w:pPr>
            <w:r>
              <w:t xml:space="preserve">Please contact </w:t>
            </w:r>
            <w:r>
              <w:t>Shahid Islam at BIB</w:t>
            </w:r>
            <w:r>
              <w:t xml:space="preserve"> for a further discussion: </w:t>
            </w:r>
            <w:r>
              <w:rPr>
                <w:color w:val="0E72B4"/>
                <w:u w:val="single"/>
              </w:rPr>
              <w:t>shahid.islam@bthft.nhs.uk</w:t>
            </w:r>
          </w:p>
        </w:tc>
      </w:tr>
    </w:tbl>
    <w:p w14:paraId="16813D72" w14:textId="77777777" w:rsidR="00E214BE" w:rsidRDefault="002457B5">
      <w:r>
        <w:t xml:space="preserve"> </w:t>
      </w:r>
    </w:p>
    <w:p w14:paraId="771F0E0F" w14:textId="77777777" w:rsidR="00E214BE" w:rsidRDefault="002457B5">
      <w:pPr>
        <w:pStyle w:val="Heading1"/>
        <w:keepNext w:val="0"/>
        <w:keepLines w:val="0"/>
        <w:spacing w:before="360" w:after="200" w:line="240" w:lineRule="auto"/>
        <w:rPr>
          <w:b/>
          <w:bCs/>
        </w:rPr>
      </w:pPr>
      <w:r>
        <w:rPr>
          <w:b/>
          <w:bCs/>
        </w:rPr>
        <w:t>Funding Details</w:t>
      </w:r>
    </w:p>
    <w:tbl>
      <w:tblPr>
        <w:tblStyle w:val="a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00"/>
        <w:gridCol w:w="6026"/>
      </w:tblGrid>
      <w:tr w:rsidR="00E214BE" w14:paraId="3DC9A11C" w14:textId="77777777">
        <w:tc>
          <w:tcPr>
            <w:tcW w:w="3000" w:type="dxa"/>
            <w:tcBorders>
              <w:top w:val="single" w:sz="4" w:space="0" w:color="CCCCCC"/>
              <w:left w:val="single" w:sz="4" w:space="0" w:color="CCCCCC"/>
              <w:bottom w:val="single" w:sz="4" w:space="0" w:color="CCCCCC"/>
              <w:right w:val="single" w:sz="4" w:space="0" w:color="CCCCCC"/>
            </w:tcBorders>
            <w:shd w:val="clear" w:color="auto" w:fill="EBF4FF"/>
            <w:tcMar>
              <w:top w:w="80" w:type="dxa"/>
              <w:left w:w="150" w:type="dxa"/>
              <w:bottom w:w="80" w:type="dxa"/>
              <w:right w:w="150" w:type="dxa"/>
            </w:tcMar>
          </w:tcPr>
          <w:p w14:paraId="7D6B58DF" w14:textId="77777777" w:rsidR="00E214BE" w:rsidRDefault="002457B5">
            <w:pPr>
              <w:spacing w:line="240" w:lineRule="auto"/>
            </w:pPr>
            <w:r>
              <w:rPr>
                <w:b/>
                <w:bCs/>
              </w:rPr>
              <w:t>Award</w:t>
            </w:r>
          </w:p>
        </w:tc>
        <w:tc>
          <w:tcPr>
            <w:tcW w:w="6026" w:type="dxa"/>
            <w:tcBorders>
              <w:top w:val="single" w:sz="4" w:space="0" w:color="CCCCCC"/>
              <w:left w:val="single" w:sz="4" w:space="0" w:color="CCCCCC"/>
              <w:bottom w:val="single" w:sz="4" w:space="0" w:color="CCCCCC"/>
              <w:right w:val="single" w:sz="4" w:space="0" w:color="CCCCCC"/>
            </w:tcBorders>
            <w:shd w:val="clear" w:color="auto" w:fill="EBF4FF"/>
            <w:tcMar>
              <w:top w:w="80" w:type="dxa"/>
              <w:left w:w="150" w:type="dxa"/>
              <w:bottom w:w="80" w:type="dxa"/>
              <w:right w:w="150" w:type="dxa"/>
            </w:tcMar>
          </w:tcPr>
          <w:p w14:paraId="1A3D53EE" w14:textId="211DCF4E" w:rsidR="00E214BE" w:rsidRDefault="002457B5">
            <w:pPr>
              <w:spacing w:line="240" w:lineRule="auto"/>
            </w:pPr>
            <w:r>
              <w:t>Up to £</w:t>
            </w:r>
            <w:r w:rsidR="00162E38">
              <w:t>36</w:t>
            </w:r>
            <w:r>
              <w:t>,000 per project</w:t>
            </w:r>
          </w:p>
        </w:tc>
      </w:tr>
      <w:tr w:rsidR="00E214BE" w14:paraId="24DE209B"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B368C3B" w14:textId="77777777" w:rsidR="00E214BE" w:rsidRDefault="002457B5">
            <w:pPr>
              <w:spacing w:line="240" w:lineRule="auto"/>
            </w:pPr>
            <w:r>
              <w:rPr>
                <w:b/>
                <w:bCs/>
              </w:rPr>
              <w:t>Project Duration</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6AEA433" w14:textId="77777777" w:rsidR="00E214BE" w:rsidRDefault="002457B5">
            <w:pPr>
              <w:spacing w:line="240" w:lineRule="auto"/>
            </w:pPr>
            <w:r>
              <w:t>12–18 months</w:t>
            </w:r>
          </w:p>
        </w:tc>
      </w:tr>
      <w:tr w:rsidR="00E214BE" w14:paraId="7940F7D9" w14:textId="77777777">
        <w:tc>
          <w:tcPr>
            <w:tcW w:w="3000" w:type="dxa"/>
            <w:tcBorders>
              <w:top w:val="single" w:sz="4" w:space="0" w:color="CCCCCC"/>
              <w:left w:val="single" w:sz="4" w:space="0" w:color="CCCCCC"/>
              <w:bottom w:val="single" w:sz="4" w:space="0" w:color="CCCCCC"/>
              <w:right w:val="single" w:sz="4" w:space="0" w:color="CCCCCC"/>
            </w:tcBorders>
            <w:shd w:val="clear" w:color="auto" w:fill="EBF4FF"/>
            <w:tcMar>
              <w:top w:w="80" w:type="dxa"/>
              <w:left w:w="150" w:type="dxa"/>
              <w:bottom w:w="80" w:type="dxa"/>
              <w:right w:w="150" w:type="dxa"/>
            </w:tcMar>
          </w:tcPr>
          <w:p w14:paraId="78959952" w14:textId="77777777" w:rsidR="00E214BE" w:rsidRDefault="002457B5">
            <w:pPr>
              <w:spacing w:line="240" w:lineRule="auto"/>
            </w:pPr>
            <w:r>
              <w:rPr>
                <w:b/>
                <w:bCs/>
              </w:rPr>
              <w:t>Launch</w:t>
            </w:r>
          </w:p>
        </w:tc>
        <w:tc>
          <w:tcPr>
            <w:tcW w:w="6026" w:type="dxa"/>
            <w:tcBorders>
              <w:top w:val="single" w:sz="4" w:space="0" w:color="CCCCCC"/>
              <w:left w:val="single" w:sz="4" w:space="0" w:color="CCCCCC"/>
              <w:bottom w:val="single" w:sz="4" w:space="0" w:color="CCCCCC"/>
              <w:right w:val="single" w:sz="4" w:space="0" w:color="CCCCCC"/>
            </w:tcBorders>
            <w:shd w:val="clear" w:color="auto" w:fill="EBF4FF"/>
            <w:tcMar>
              <w:top w:w="80" w:type="dxa"/>
              <w:left w:w="150" w:type="dxa"/>
              <w:bottom w:w="80" w:type="dxa"/>
              <w:right w:w="150" w:type="dxa"/>
            </w:tcMar>
          </w:tcPr>
          <w:p w14:paraId="1E27D5C7" w14:textId="77777777" w:rsidR="00E214BE" w:rsidRDefault="002457B5">
            <w:pPr>
              <w:spacing w:line="240" w:lineRule="auto"/>
            </w:pPr>
            <w:r>
              <w:t>October 2026</w:t>
            </w:r>
          </w:p>
        </w:tc>
      </w:tr>
      <w:tr w:rsidR="00E214BE" w14:paraId="4917D36B" w14:textId="77777777">
        <w:tc>
          <w:tcPr>
            <w:tcW w:w="30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4C7147C0" w14:textId="77777777" w:rsidR="00E214BE" w:rsidRDefault="002457B5">
            <w:pPr>
              <w:spacing w:line="240" w:lineRule="auto"/>
            </w:pPr>
            <w:r>
              <w:rPr>
                <w:b/>
                <w:bCs/>
              </w:rPr>
              <w:t>Application Window</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30DA7DC6" w14:textId="77777777" w:rsidR="00E214BE" w:rsidRDefault="002457B5">
            <w:pPr>
              <w:spacing w:line="240" w:lineRule="auto"/>
            </w:pPr>
            <w:r>
              <w:t>End of October 2026 – 31st January 2027</w:t>
            </w:r>
          </w:p>
        </w:tc>
      </w:tr>
    </w:tbl>
    <w:p w14:paraId="32169C72" w14:textId="77777777" w:rsidR="00E214BE" w:rsidRDefault="00E214BE">
      <w:pPr>
        <w:spacing w:after="200" w:line="240" w:lineRule="auto"/>
      </w:pPr>
    </w:p>
    <w:p w14:paraId="287C7C76" w14:textId="77777777" w:rsidR="00E214BE" w:rsidRDefault="002457B5">
      <w:pPr>
        <w:pStyle w:val="Heading1"/>
        <w:keepNext w:val="0"/>
        <w:keepLines w:val="0"/>
        <w:spacing w:before="360" w:after="200" w:line="240" w:lineRule="auto"/>
        <w:rPr>
          <w:b/>
          <w:bCs/>
        </w:rPr>
      </w:pPr>
      <w:r>
        <w:rPr>
          <w:b/>
          <w:bCs/>
        </w:rPr>
        <w:t>Eligibility</w:t>
      </w:r>
    </w:p>
    <w:p w14:paraId="4ABF7370" w14:textId="77777777" w:rsidR="00E214BE" w:rsidRDefault="002457B5">
      <w:pPr>
        <w:spacing w:after="120" w:line="240" w:lineRule="auto"/>
      </w:pPr>
      <w:r>
        <w:t>This funding opportunity will cover 100% of directly incurred (DI) or directly allocated (DA) staff costs, as well as 100% of eligible non-staff costs. Estates and indirect costs are not eligible and should not be included in applications.</w:t>
      </w:r>
    </w:p>
    <w:p w14:paraId="2DBC6ED9" w14:textId="77777777" w:rsidR="00E214BE" w:rsidRDefault="002457B5">
      <w:pPr>
        <w:spacing w:after="120" w:line="240" w:lineRule="auto"/>
      </w:pPr>
      <w:r>
        <w:t xml:space="preserve">Applicants should use </w:t>
      </w:r>
      <w:proofErr w:type="spellStart"/>
      <w:r>
        <w:t>Worktribe</w:t>
      </w:r>
      <w:proofErr w:type="spellEnd"/>
      <w:r>
        <w:t xml:space="preserve"> to calculate and record any staff costs; however, these costs should not be submitted for approval at the application stage. An R-code has already been established for this project. If funding is awarded, a separate work order will be set up by the University.</w:t>
      </w:r>
    </w:p>
    <w:p w14:paraId="30F54889" w14:textId="77777777" w:rsidR="00E214BE" w:rsidRDefault="002457B5">
      <w:pPr>
        <w:spacing w:after="120" w:line="240" w:lineRule="auto"/>
      </w:pPr>
      <w:r>
        <w:t>Although the funding is provided externally by the Bradford Institute for Health Research (BIHR), the allocation and management of funds are under the control of the Centre and the University of York. Applications will therefore be assessed by an internal panel of University of York staff, and no application to an external funder is required.</w:t>
      </w:r>
    </w:p>
    <w:p w14:paraId="4CEC711B" w14:textId="77777777" w:rsidR="00E214BE" w:rsidRDefault="002457B5">
      <w:pPr>
        <w:spacing w:after="120" w:line="240" w:lineRule="auto"/>
      </w:pPr>
      <w:r>
        <w:t xml:space="preserve">Please note that </w:t>
      </w:r>
      <w:proofErr w:type="spellStart"/>
      <w:r>
        <w:t>BiB</w:t>
      </w:r>
      <w:proofErr w:type="spellEnd"/>
      <w:r>
        <w:t xml:space="preserve"> will waive the costs associated with accessing the </w:t>
      </w:r>
      <w:proofErr w:type="spellStart"/>
      <w:r>
        <w:t>BiB</w:t>
      </w:r>
      <w:proofErr w:type="spellEnd"/>
      <w:r>
        <w:t xml:space="preserve"> dataset for projects funded through this scheme. Applicants should therefore not include any </w:t>
      </w:r>
      <w:proofErr w:type="spellStart"/>
      <w:r>
        <w:t>BiB</w:t>
      </w:r>
      <w:proofErr w:type="spellEnd"/>
      <w:r>
        <w:t xml:space="preserve"> data access costs in their costings.</w:t>
      </w:r>
    </w:p>
    <w:p w14:paraId="25BC01A3" w14:textId="77777777" w:rsidR="00E214BE" w:rsidRDefault="002457B5">
      <w:pPr>
        <w:pStyle w:val="Heading1"/>
        <w:keepNext w:val="0"/>
        <w:keepLines w:val="0"/>
        <w:spacing w:before="360" w:after="200" w:line="240" w:lineRule="auto"/>
        <w:rPr>
          <w:b/>
          <w:bCs/>
        </w:rPr>
      </w:pPr>
      <w:bookmarkStart w:id="0" w:name="_heading=h.nvjp3bstnu4a" w:colFirst="0" w:colLast="0"/>
      <w:bookmarkEnd w:id="0"/>
      <w:r>
        <w:rPr>
          <w:b/>
          <w:bCs/>
        </w:rPr>
        <w:t>Selection Criteria</w:t>
      </w:r>
    </w:p>
    <w:p w14:paraId="3897821D" w14:textId="77777777" w:rsidR="00E214BE" w:rsidRDefault="002457B5">
      <w:pPr>
        <w:spacing w:after="120" w:line="240" w:lineRule="auto"/>
      </w:pPr>
      <w:r>
        <w:t>Proposals will be assessed against the following:</w:t>
      </w:r>
    </w:p>
    <w:p w14:paraId="27675958" w14:textId="77777777" w:rsidR="00E214BE" w:rsidRDefault="002457B5">
      <w:pPr>
        <w:numPr>
          <w:ilvl w:val="0"/>
          <w:numId w:val="1"/>
        </w:numPr>
        <w:spacing w:line="240" w:lineRule="auto"/>
      </w:pPr>
      <w:r>
        <w:t xml:space="preserve">Alignment with </w:t>
      </w:r>
      <w:proofErr w:type="spellStart"/>
      <w:r>
        <w:t>BiB</w:t>
      </w:r>
      <w:proofErr w:type="spellEnd"/>
      <w:r>
        <w:t xml:space="preserve"> CSC’s key research themes and overarching goal</w:t>
      </w:r>
    </w:p>
    <w:p w14:paraId="42DB5165" w14:textId="77777777" w:rsidR="00E214BE" w:rsidRDefault="002457B5">
      <w:pPr>
        <w:numPr>
          <w:ilvl w:val="0"/>
          <w:numId w:val="1"/>
        </w:numPr>
        <w:spacing w:line="240" w:lineRule="auto"/>
      </w:pPr>
      <w:r>
        <w:t>Extent to which the project addresses inequalities</w:t>
      </w:r>
    </w:p>
    <w:p w14:paraId="72CE7405" w14:textId="77777777" w:rsidR="00E214BE" w:rsidRDefault="002457B5">
      <w:pPr>
        <w:numPr>
          <w:ilvl w:val="0"/>
          <w:numId w:val="1"/>
        </w:numPr>
        <w:spacing w:line="240" w:lineRule="auto"/>
      </w:pPr>
      <w:r>
        <w:t>Direct connection to Born in Bradford through its data, staff or existing research initiatives</w:t>
      </w:r>
    </w:p>
    <w:p w14:paraId="7545C5F8" w14:textId="77777777" w:rsidR="00E214BE" w:rsidRDefault="002457B5">
      <w:pPr>
        <w:numPr>
          <w:ilvl w:val="0"/>
          <w:numId w:val="1"/>
        </w:numPr>
        <w:spacing w:line="240" w:lineRule="auto"/>
      </w:pPr>
      <w:r>
        <w:t>Active involvement of communities and/or policy stakeholders in Bradford</w:t>
      </w:r>
    </w:p>
    <w:p w14:paraId="10C8B980" w14:textId="77777777" w:rsidR="00E214BE" w:rsidRDefault="002457B5">
      <w:pPr>
        <w:numPr>
          <w:ilvl w:val="0"/>
          <w:numId w:val="1"/>
        </w:numPr>
        <w:spacing w:line="240" w:lineRule="auto"/>
      </w:pPr>
      <w:r>
        <w:t>Contribution to a critical mass of evidence in a strategic theme area</w:t>
      </w:r>
    </w:p>
    <w:p w14:paraId="7F812775" w14:textId="77777777" w:rsidR="00E214BE" w:rsidRDefault="002457B5">
      <w:pPr>
        <w:numPr>
          <w:ilvl w:val="0"/>
          <w:numId w:val="1"/>
        </w:numPr>
        <w:spacing w:line="240" w:lineRule="auto"/>
      </w:pPr>
      <w:r>
        <w:lastRenderedPageBreak/>
        <w:t>Cross-disciplinary collaboration within the University of York and/or with external institutions</w:t>
      </w:r>
    </w:p>
    <w:p w14:paraId="18D3AA0B" w14:textId="77777777" w:rsidR="00E214BE" w:rsidRDefault="002457B5">
      <w:pPr>
        <w:numPr>
          <w:ilvl w:val="0"/>
          <w:numId w:val="1"/>
        </w:numPr>
        <w:spacing w:line="240" w:lineRule="auto"/>
      </w:pPr>
      <w:r>
        <w:t>Clear and named policy engagement plan, with realistic pathways to impact</w:t>
      </w:r>
    </w:p>
    <w:p w14:paraId="0B2F2943" w14:textId="77777777" w:rsidR="00E214BE" w:rsidRDefault="002457B5">
      <w:pPr>
        <w:numPr>
          <w:ilvl w:val="0"/>
          <w:numId w:val="1"/>
        </w:numPr>
        <w:spacing w:line="240" w:lineRule="auto"/>
      </w:pPr>
      <w:r>
        <w:t>Potential to attract further external funding and ensure long-term sustainability</w:t>
      </w:r>
    </w:p>
    <w:p w14:paraId="2B4EAAD6" w14:textId="77777777" w:rsidR="00E214BE" w:rsidRDefault="002457B5">
      <w:pPr>
        <w:numPr>
          <w:ilvl w:val="0"/>
          <w:numId w:val="1"/>
        </w:numPr>
        <w:spacing w:line="240" w:lineRule="auto"/>
      </w:pPr>
      <w:r>
        <w:t>Realism and achievability of objectives within the funding envelope and timeline</w:t>
      </w:r>
    </w:p>
    <w:p w14:paraId="03FC8FC4" w14:textId="77777777" w:rsidR="00E214BE" w:rsidRDefault="002457B5">
      <w:pPr>
        <w:numPr>
          <w:ilvl w:val="0"/>
          <w:numId w:val="1"/>
        </w:numPr>
        <w:spacing w:line="240" w:lineRule="auto"/>
      </w:pPr>
      <w:r>
        <w:t>Quality and clarity of the execution plan</w:t>
      </w:r>
    </w:p>
    <w:p w14:paraId="0B23F247" w14:textId="77777777" w:rsidR="00E214BE" w:rsidRDefault="002457B5">
      <w:pPr>
        <w:pStyle w:val="Heading1"/>
        <w:keepNext w:val="0"/>
        <w:keepLines w:val="0"/>
        <w:spacing w:before="360" w:after="200" w:line="240" w:lineRule="auto"/>
        <w:rPr>
          <w:b/>
          <w:bCs/>
        </w:rPr>
      </w:pPr>
      <w:r>
        <w:rPr>
          <w:b/>
          <w:bCs/>
        </w:rPr>
        <w:t>What to Include in Your Application</w:t>
      </w:r>
    </w:p>
    <w:p w14:paraId="7D123760" w14:textId="77777777" w:rsidR="00E214BE" w:rsidRDefault="002457B5">
      <w:pPr>
        <w:spacing w:after="120" w:line="240" w:lineRule="auto"/>
      </w:pPr>
      <w:r>
        <w:t>In addition to addressing the selection criteria above, applications should include the following w</w:t>
      </w:r>
      <w:r>
        <w:t>here relevant</w:t>
      </w:r>
      <w:r>
        <w:t>:</w:t>
      </w:r>
    </w:p>
    <w:p w14:paraId="3EE356CF" w14:textId="77777777" w:rsidR="00E214BE" w:rsidRDefault="002457B5">
      <w:pPr>
        <w:numPr>
          <w:ilvl w:val="0"/>
          <w:numId w:val="1"/>
        </w:numPr>
        <w:spacing w:after="120" w:line="240" w:lineRule="auto"/>
      </w:pPr>
      <w:r>
        <w:rPr>
          <w:b/>
          <w:bCs/>
        </w:rPr>
        <w:t xml:space="preserve">Reciprocity: </w:t>
      </w:r>
      <w:r>
        <w:t>Applicants must demonstrate how they will financially recognise the time and expertise of community partners. We strongly encourage a dedicated ‘Partner Honorarium’ or ‘</w:t>
      </w:r>
      <w:proofErr w:type="spellStart"/>
      <w:r>
        <w:t>Seedcorn</w:t>
      </w:r>
      <w:proofErr w:type="spellEnd"/>
      <w:r>
        <w:t>’ budget line to support overstretched third-sector organisations.</w:t>
      </w:r>
    </w:p>
    <w:p w14:paraId="328623A2" w14:textId="77777777" w:rsidR="00E214BE" w:rsidRDefault="002457B5">
      <w:pPr>
        <w:numPr>
          <w:ilvl w:val="0"/>
          <w:numId w:val="1"/>
        </w:numPr>
        <w:spacing w:after="120" w:line="240" w:lineRule="auto"/>
      </w:pPr>
      <w:r>
        <w:rPr>
          <w:b/>
          <w:bCs/>
        </w:rPr>
        <w:t xml:space="preserve">Realistic timeline justification: </w:t>
      </w:r>
      <w:r>
        <w:t>Please outline a mobilisation phase (minimum 2–3 months) that details how you will align your work with local Community Action Plans (CAP) and school terms.</w:t>
      </w:r>
    </w:p>
    <w:p w14:paraId="5F11CEEC" w14:textId="77777777" w:rsidR="00E214BE" w:rsidRDefault="002457B5">
      <w:pPr>
        <w:numPr>
          <w:ilvl w:val="0"/>
          <w:numId w:val="1"/>
        </w:numPr>
        <w:spacing w:after="120" w:line="240" w:lineRule="auto"/>
      </w:pPr>
      <w:r>
        <w:rPr>
          <w:b/>
          <w:bCs/>
        </w:rPr>
        <w:t xml:space="preserve">Lived experience and policy alignment: </w:t>
      </w:r>
      <w:r>
        <w:t>Applications should clearly state how the proposed methodology prioritises lived experience. We particularly welcome creative co-production methods (e.g. storytelling or arts-based approaches) that make policy-relevant topics accessible to young people.</w:t>
      </w:r>
    </w:p>
    <w:sectPr w:rsidR="00E214BE">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6D06910-30B2-49DF-8049-045F1266297E}"/>
    <w:embedBold r:id="rId2" w:fontKey="{22AC2BE1-596C-495A-BAFB-A026851151C3}"/>
    <w:embedItalic r:id="rId3" w:fontKey="{D465A5F9-8EF7-4338-85CC-A8799E8C326D}"/>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4" w:fontKey="{C0DEFC70-C28E-4F36-A074-0B60265F125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D2FDF"/>
    <w:multiLevelType w:val="multilevel"/>
    <w:tmpl w:val="4F6C3144"/>
    <w:lvl w:ilvl="0">
      <w:start w:val="1"/>
      <w:numFmt w:val="bullet"/>
      <w:lvlText w:val="•"/>
      <w:lvlJc w:val="left"/>
      <w:pPr>
        <w:ind w:left="720" w:hanging="36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abstractNum w:abstractNumId="1" w15:restartNumberingAfterBreak="0">
    <w:nsid w:val="63417BCF"/>
    <w:multiLevelType w:val="multilevel"/>
    <w:tmpl w:val="25383098"/>
    <w:lvl w:ilvl="0">
      <w:start w:val="1"/>
      <w:numFmt w:val="bullet"/>
      <w:lvlText w:val="•"/>
      <w:lvlJc w:val="left"/>
      <w:pPr>
        <w:ind w:left="720" w:hanging="360"/>
      </w:pPr>
      <w:rPr>
        <w:u w:val="none"/>
      </w:rPr>
    </w:lvl>
    <w:lvl w:ilvl="1">
      <w:numFmt w:val="decimal"/>
      <w:lvlText w:val=""/>
      <w:lvlJc w:val="left"/>
      <w:pPr>
        <w:ind w:left="0" w:firstLine="0"/>
      </w:pPr>
      <w:rPr>
        <w:u w:val="none"/>
      </w:rPr>
    </w:lvl>
    <w:lvl w:ilvl="2">
      <w:numFmt w:val="decimal"/>
      <w:lvlText w:val=""/>
      <w:lvlJc w:val="left"/>
      <w:pPr>
        <w:ind w:left="0" w:firstLine="0"/>
      </w:pPr>
      <w:rPr>
        <w:u w:val="none"/>
      </w:rPr>
    </w:lvl>
    <w:lvl w:ilvl="3">
      <w:numFmt w:val="decimal"/>
      <w:lvlText w:val=""/>
      <w:lvlJc w:val="left"/>
      <w:pPr>
        <w:ind w:left="0" w:firstLine="0"/>
      </w:pPr>
      <w:rPr>
        <w:u w:val="none"/>
      </w:rPr>
    </w:lvl>
    <w:lvl w:ilvl="4">
      <w:numFmt w:val="decimal"/>
      <w:lvlText w:val=""/>
      <w:lvlJc w:val="left"/>
      <w:pPr>
        <w:ind w:left="0" w:firstLine="0"/>
      </w:pPr>
      <w:rPr>
        <w:u w:val="none"/>
      </w:rPr>
    </w:lvl>
    <w:lvl w:ilvl="5">
      <w:numFmt w:val="decimal"/>
      <w:lvlText w:val=""/>
      <w:lvlJc w:val="left"/>
      <w:pPr>
        <w:ind w:left="0" w:firstLine="0"/>
      </w:pPr>
      <w:rPr>
        <w:u w:val="none"/>
      </w:rPr>
    </w:lvl>
    <w:lvl w:ilvl="6">
      <w:numFmt w:val="decimal"/>
      <w:lvlText w:val=""/>
      <w:lvlJc w:val="left"/>
      <w:pPr>
        <w:ind w:left="0" w:firstLine="0"/>
      </w:pPr>
      <w:rPr>
        <w:u w:val="none"/>
      </w:rPr>
    </w:lvl>
    <w:lvl w:ilvl="7">
      <w:numFmt w:val="decimal"/>
      <w:lvlText w:val=""/>
      <w:lvlJc w:val="left"/>
      <w:pPr>
        <w:ind w:left="0" w:firstLine="0"/>
      </w:pPr>
      <w:rPr>
        <w:u w:val="none"/>
      </w:rPr>
    </w:lvl>
    <w:lvl w:ilvl="8">
      <w:numFmt w:val="decimal"/>
      <w:lvlText w:val=""/>
      <w:lvlJc w:val="left"/>
      <w:pPr>
        <w:ind w:left="0" w:firstLine="0"/>
      </w:pPr>
      <w:rPr>
        <w:u w:val="none"/>
      </w:rPr>
    </w:lvl>
  </w:abstractNum>
  <w:num w:numId="1" w16cid:durableId="981542065">
    <w:abstractNumId w:val="1"/>
  </w:num>
  <w:num w:numId="2" w16cid:durableId="1204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4BE"/>
    <w:rsid w:val="00162E38"/>
    <w:rsid w:val="00E214BE"/>
    <w:rsid w:val="00EE55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4BC66"/>
  <w15:docId w15:val="{48E1EBDF-D469-4A0A-810E-7E14B54E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style>
  <w:style w:type="paragraph" w:styleId="Heading2">
    <w:name w:val="heading 2"/>
    <w:basedOn w:val="Normal"/>
    <w:next w:val="Normal"/>
    <w:uiPriority w:val="9"/>
    <w:semiHidden/>
    <w:unhideWhenUsed/>
    <w:qFormat/>
    <w:pPr>
      <w:keepNext/>
      <w:keepLines/>
      <w:spacing w:before="360" w:after="120"/>
      <w:outlineLvl w:val="1"/>
    </w:pPr>
  </w:style>
  <w:style w:type="paragraph" w:styleId="Heading3">
    <w:name w:val="heading 3"/>
    <w:basedOn w:val="Normal"/>
    <w:next w:val="Normal"/>
    <w:uiPriority w:val="9"/>
    <w:semiHidden/>
    <w:unhideWhenUsed/>
    <w:qFormat/>
    <w:pPr>
      <w:keepNext/>
      <w:keepLines/>
      <w:spacing w:before="320" w:after="80"/>
      <w:outlineLvl w:val="2"/>
    </w:pPr>
    <w:rPr>
      <w:color w:val="434343"/>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CellMar>
        <w:top w:w="0" w:type="dxa"/>
        <w:left w:w="10" w:type="dxa"/>
        <w:bottom w:w="0" w:type="dxa"/>
        <w:right w:w="10" w:type="dxa"/>
      </w:tblCellMar>
    </w:tblPr>
  </w:style>
  <w:style w:type="paragraph" w:styleId="Subtitle">
    <w:name w:val="Subtitle"/>
    <w:basedOn w:val="Normal"/>
    <w:next w:val="Normal"/>
    <w:uiPriority w:val="11"/>
    <w:qFormat/>
    <w:pPr>
      <w:keepNext/>
      <w:keepLines/>
      <w:spacing w:after="320"/>
    </w:pPr>
    <w:rPr>
      <w:color w:val="666666"/>
    </w:r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snQbcEM370JbnPT+42j8GFIG+Q==">CgMxLjAyDmgubnZqcDNic3RudTRhOAByITFGTmVydzJhS2UtbmVEc2NqeGlWVjhMZXdSSDc5VnhyaQ==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1455</Words>
  <Characters>8294</Characters>
  <Application>Microsoft Office Word</Application>
  <DocSecurity>0</DocSecurity>
  <Lines>69</Lines>
  <Paragraphs>19</Paragraphs>
  <ScaleCrop>false</ScaleCrop>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Duncan McKnight</dc:creator>
  <cp:lastModifiedBy>Duncan McKnight</cp:lastModifiedBy>
  <cp:revision>2</cp:revision>
  <dcterms:created xsi:type="dcterms:W3CDTF">2026-10-20T07:59:00Z</dcterms:created>
  <dcterms:modified xsi:type="dcterms:W3CDTF">2026-10-20T07:59:00Z</dcterms:modified>
</cp:coreProperties>
</file>